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jc w:val="left"/>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北京市残疾人联合会2021年度</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部门整体绩效评价报告</w:t>
      </w: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pStyle w:val="3"/>
        <w:spacing w:after="0" w:line="240" w:lineRule="auto"/>
        <w:ind w:left="0" w:leftChars="0" w:firstLine="560"/>
      </w:pPr>
    </w:p>
    <w:p>
      <w:pPr>
        <w:pStyle w:val="3"/>
        <w:spacing w:after="0" w:line="240" w:lineRule="auto"/>
        <w:ind w:left="0" w:leftChars="0" w:firstLine="560"/>
      </w:pPr>
    </w:p>
    <w:p>
      <w:pPr>
        <w:spacing w:line="580" w:lineRule="exact"/>
        <w:rPr>
          <w:rFonts w:ascii="仿宋" w:hAnsi="仿宋" w:eastAsia="仿宋" w:cs="仿宋"/>
          <w:sz w:val="32"/>
          <w:szCs w:val="32"/>
        </w:rPr>
      </w:pPr>
    </w:p>
    <w:p>
      <w:pPr>
        <w:rPr>
          <w:rFonts w:ascii="仿宋" w:hAnsi="仿宋" w:eastAsia="仿宋" w:cs="仿宋"/>
          <w:sz w:val="32"/>
          <w:szCs w:val="32"/>
        </w:rPr>
      </w:pPr>
    </w:p>
    <w:p>
      <w:pPr>
        <w:rPr>
          <w:rFonts w:ascii="仿宋_GB2312" w:hAnsi="仿宋_GB2312" w:cs="仿宋_GB2312"/>
          <w:sz w:val="32"/>
          <w:szCs w:val="32"/>
        </w:rPr>
      </w:pPr>
    </w:p>
    <w:p>
      <w:pPr>
        <w:pStyle w:val="3"/>
        <w:spacing w:after="0" w:line="240" w:lineRule="auto"/>
        <w:ind w:left="0" w:leftChars="0"/>
        <w:rPr>
          <w:rFonts w:ascii="仿宋_GB2312" w:hAnsi="仿宋_GB2312" w:cs="仿宋_GB2312"/>
          <w:sz w:val="32"/>
          <w:szCs w:val="32"/>
        </w:rPr>
      </w:pPr>
    </w:p>
    <w:p>
      <w:pPr>
        <w:spacing w:line="580" w:lineRule="exact"/>
        <w:jc w:val="center"/>
        <w:rPr>
          <w:rFonts w:ascii="黑体" w:hAnsi="黑体" w:eastAsia="黑体" w:cs="仿宋_GB2312"/>
          <w:sz w:val="32"/>
          <w:szCs w:val="32"/>
        </w:rPr>
        <w:sectPr>
          <w:footerReference r:id="rId3" w:type="default"/>
          <w:pgSz w:w="11906" w:h="16838"/>
          <w:pgMar w:top="2098" w:right="1531" w:bottom="1984" w:left="1531" w:header="851" w:footer="992" w:gutter="0"/>
          <w:cols w:space="720" w:num="1"/>
          <w:docGrid w:type="lines" w:linePitch="312" w:charSpace="0"/>
        </w:sectPr>
      </w:pPr>
      <w:r>
        <w:rPr>
          <w:rFonts w:hint="eastAsia" w:ascii="黑体" w:hAnsi="黑体" w:eastAsia="黑体" w:cs="仿宋_GB2312"/>
          <w:sz w:val="32"/>
          <w:szCs w:val="32"/>
        </w:rPr>
        <w:t>二〇二二年五月</w:t>
      </w:r>
    </w:p>
    <w:p>
      <w:pPr>
        <w:numPr>
          <w:ilvl w:val="0"/>
          <w:numId w:val="1"/>
        </w:numPr>
        <w:spacing w:line="580" w:lineRule="exact"/>
        <w:ind w:firstLine="560" w:firstLineChars="200"/>
        <w:rPr>
          <w:rFonts w:hint="eastAsia" w:ascii="黑体" w:eastAsia="黑体"/>
          <w:sz w:val="28"/>
          <w:szCs w:val="28"/>
        </w:rPr>
      </w:pPr>
      <w:r>
        <w:rPr>
          <w:rFonts w:hint="eastAsia" w:ascii="黑体" w:eastAsia="黑体"/>
          <w:sz w:val="28"/>
          <w:szCs w:val="28"/>
        </w:rPr>
        <w:t>部门整体绩效评价报告</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黑体" w:hAnsi="黑体" w:eastAsia="黑体" w:cs="宋体"/>
          <w:color w:val="000000"/>
          <w:kern w:val="0"/>
          <w:sz w:val="28"/>
          <w:szCs w:val="28"/>
        </w:rPr>
        <w:t>（</w:t>
      </w:r>
      <w:r>
        <w:rPr>
          <w:rFonts w:hint="eastAsia" w:ascii="仿宋_GB2312" w:hAnsi="仿宋_GB2312" w:eastAsia="仿宋_GB2312" w:cs="仿宋_GB2312"/>
          <w:color w:val="000000"/>
          <w:kern w:val="0"/>
          <w:sz w:val="28"/>
          <w:szCs w:val="28"/>
        </w:rPr>
        <w:t>一）部门概况</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1.机构设置及职责工作任务情况</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（1）机构设置</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北京市机构编制委员会办公室关于印发&lt;北京市残疾人联合会机关主要职责、内设机构和人员编制方案&gt;的通知》（京编办函〔2002〕3号）《北京市机构编制委员会办公室关于同意调整市残联所属部分事业单位机构编制的函》（京编办事〔2014〕68号），以及《中共北京市委机构编制委员会办公室关于同意调整市残联机关内设机构设置的函》（京编办行〔2019〕167号），北京市残疾人联合会机关内设9个职能部室和机关党委（党建工作部）、机关纪委，下属11个预算单位包括：北京市残疾人社会服务指导中心、北京市残疾人社会保障和就业服务中心、北京市残疾人康复服务指导中心、北京市残疾人事业募捐工作管理中心、北京市残疾人文化体育指导中心、北京市盲人按摩指导中心、北京市残疾人辅助器具资源中心、北京市残疾人联合会信息中心、北京市残疾人联合会财务结算中心、北京市残疾人维权中心、北京市无障碍环境建设促进中心。</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（2）职责工作任务情况</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北京市残联积极适应建立社会主义市场经济体制和残疾人事业发展的需要，进一步理顺关系，改进运行机制，按照残联自身特点，密切联系广大残疾人，代表残疾人共同利益，维护残疾人合法权益；开展各项业务和活动，直接为残疾人服务；承担政府委托的部分行政职能，发展和管理残疾人事业。其机关主要职责为：</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①听取残疾人意见，反映残疾人要求，维护残疾人利益，为残疾人服务。</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②团结、教育残疾人遵守法律，履行应尽的义务，发扬乐观进取精神，自尊、自信、自强、自立，为社会主义建设贡献力量。</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③弘扬人道主义，宣传残疾人事业，沟通政府、社会与残疾人之间的联系，动员社会理解、尊重、关心、帮助残疾人。</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④开展残疾人康复、教育、劳动就业、扶贫、文化、体育、科研、用品用具供应、福利、社会服务、无障碍设施建设和残疾人预防等工作，创造良好的环境和条件，扶助残疾人平等参与社会生活。</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⑤协助有关部门研究、制定和实施残疾人事业的法规、政策、发展规划。</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⑥开展残疾人事业的国际交流与合作。</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⑦指导区残疾人联合会工作。</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⑧协助有关部门对所主管的社会团体进行监督管理。</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⑨承担市政府残疾人工作协调委员会的日常工作。</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⑩承办市委、市政府和中国残疾人联合会交办的其他事项。</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2.部门整体绩效目标设立情况</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2021年度工作任务和目标。根据《北京市“十四五”时期残疾人事业发展规划》（京残工委〔2021〕3号）和北京市残联2021年工作要点：推动残疾人事业高质量发展、保障残疾人基本民生和改善残疾人生活品质、抓住北京冬奥会冬残奥会筹办契机加强残疾人关爱服务、全面提升无障碍环境建设水平、持续深化残联改革和自身建设等系2021年度重点工作任务，具体分解如下：</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①突出对标对表，高质量完成全局性重点任务</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一是精心组织建党100周年庆祝活动；</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二是精准有效做好常态化疫情防控；</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三是编制和实施残疾人事业“十四五”规划；</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四是全面落实深化“放管服”改革优化营商环境任务；</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②聚焦主责主业，加强和改进残疾人关爱服务</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一是完善社会保障制度和养护照料服务；</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二是提升康复服务质量；</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三是完善融合教育保障机制；</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四是加大残疾人就业帮扶力度；</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五是依法维护残疾人合法权益；</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六是广泛组织残疾人参加文化活动；</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③坚持融入大局，全力以赴落实冬残奥会主办城市相关筹办任务</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一是高质量完成无障碍环境建设行动目标任务；</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二是高标准落实备战任务；</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三是加快推进城市志愿服务；</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四是协同营造浓厚氛围；</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④持续深化改革，为残疾人事业发展提供有力支撑</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一是完善基层组织建设；</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二是加快温馨家园改革；</w:t>
      </w:r>
    </w:p>
    <w:p>
      <w:pPr>
        <w:pStyle w:val="2"/>
        <w:spacing w:line="58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三是持续强化党建引领。</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2021年度部门整体目标及指标设置情况。根据部门年度重点工作任务和支出预算，北京市残联按要求组织编制了部门年度整体绩效目标，并从产出数量、产出质量、产出进度、产出成本、经济效益、社会效益、可持续影响和服务对象满意度等方面分解细化年度目标，具体如下表：</w:t>
      </w:r>
    </w:p>
    <w:p>
      <w:pPr>
        <w:pStyle w:val="2"/>
        <w:ind w:firstLine="480"/>
        <w:jc w:val="center"/>
        <w:rPr>
          <w:rFonts w:ascii="黑体" w:hAnsi="黑体" w:eastAsia="黑体" w:cs="黑体"/>
          <w:sz w:val="24"/>
        </w:rPr>
      </w:pPr>
      <w:r>
        <w:rPr>
          <w:rFonts w:hint="eastAsia" w:ascii="黑体" w:hAnsi="黑体" w:eastAsia="黑体" w:cs="黑体"/>
          <w:sz w:val="24"/>
        </w:rPr>
        <w:t>北京市残联2021年度部门整体绩效目标表</w:t>
      </w:r>
    </w:p>
    <w:tbl>
      <w:tblPr>
        <w:tblStyle w:val="5"/>
        <w:tblW w:w="0" w:type="auto"/>
        <w:jc w:val="center"/>
        <w:tblLayout w:type="autofit"/>
        <w:tblCellMar>
          <w:top w:w="0" w:type="dxa"/>
          <w:left w:w="108" w:type="dxa"/>
          <w:bottom w:w="0" w:type="dxa"/>
          <w:right w:w="108" w:type="dxa"/>
        </w:tblCellMar>
      </w:tblPr>
      <w:tblGrid>
        <w:gridCol w:w="2381"/>
        <w:gridCol w:w="6141"/>
      </w:tblGrid>
      <w:tr>
        <w:tblPrEx>
          <w:tblCellMar>
            <w:top w:w="0" w:type="dxa"/>
            <w:left w:w="108" w:type="dxa"/>
            <w:bottom w:w="0" w:type="dxa"/>
            <w:right w:w="108" w:type="dxa"/>
          </w:tblCellMar>
        </w:tblPrEx>
        <w:trPr>
          <w:trHeight w:val="2196" w:hRule="atLeast"/>
          <w:jc w:val="center"/>
        </w:trPr>
        <w:tc>
          <w:tcPr>
            <w:tcW w:w="2487"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color w:val="000000"/>
                <w:szCs w:val="21"/>
              </w:rPr>
            </w:pPr>
            <w:r>
              <w:rPr>
                <w:rFonts w:hint="eastAsia" w:ascii="宋体" w:hAnsi="宋体" w:cs="宋体"/>
                <w:b/>
                <w:bCs/>
                <w:color w:val="000000"/>
                <w:kern w:val="0"/>
                <w:szCs w:val="21"/>
              </w:rPr>
              <w:t>部门（单位）绩效目标</w:t>
            </w:r>
          </w:p>
        </w:tc>
        <w:tc>
          <w:tcPr>
            <w:tcW w:w="647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rPr>
              <w:t>坚持以习近平新时代中国特色社会主义思想为指导，切实履行残联自身职责，不断完善健全残疾人保障制度，加强残疾人服务体系建设，发挥带领和引导残疾人群体的作用，增强和提升残疾人及残疾人组织社会活力；维护残疾人社会地位，稳定残疾人社会群体，为残疾人解难，切实保障残疾人权利，着力在服务工作大局、实现全面小康、落实改革举措上求深化、见成效，奋力推进新时代首都残疾人事业高质量发展。</w:t>
            </w:r>
          </w:p>
        </w:tc>
      </w:tr>
      <w:tr>
        <w:tblPrEx>
          <w:tblCellMar>
            <w:top w:w="0" w:type="dxa"/>
            <w:left w:w="108" w:type="dxa"/>
            <w:bottom w:w="0" w:type="dxa"/>
            <w:right w:w="108" w:type="dxa"/>
          </w:tblCellMar>
        </w:tblPrEx>
        <w:trPr>
          <w:trHeight w:val="519" w:hRule="atLeast"/>
          <w:jc w:val="center"/>
        </w:trPr>
        <w:tc>
          <w:tcPr>
            <w:tcW w:w="0" w:type="auto"/>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cs="宋体"/>
                <w:b/>
                <w:bCs/>
                <w:color w:val="000000"/>
                <w:szCs w:val="21"/>
              </w:rPr>
            </w:pPr>
            <w:r>
              <w:rPr>
                <w:rFonts w:hint="eastAsia" w:ascii="宋体" w:hAnsi="宋体" w:cs="宋体"/>
                <w:b/>
                <w:bCs/>
                <w:color w:val="000000"/>
                <w:kern w:val="0"/>
                <w:szCs w:val="21"/>
              </w:rPr>
              <w:t>绩效指标</w:t>
            </w:r>
          </w:p>
        </w:tc>
      </w:tr>
      <w:tr>
        <w:tblPrEx>
          <w:tblCellMar>
            <w:top w:w="0" w:type="dxa"/>
            <w:left w:w="108" w:type="dxa"/>
            <w:bottom w:w="0" w:type="dxa"/>
            <w:right w:w="108" w:type="dxa"/>
          </w:tblCellMar>
        </w:tblPrEx>
        <w:trPr>
          <w:trHeight w:val="1248" w:hRule="atLeast"/>
          <w:jc w:val="center"/>
        </w:trPr>
        <w:tc>
          <w:tcPr>
            <w:tcW w:w="2487"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绩效指标一</w:t>
            </w:r>
          </w:p>
        </w:tc>
        <w:tc>
          <w:tcPr>
            <w:tcW w:w="647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产出数量指标：根据市残联2021年度工作任务，围绕信息化建设、残疾人文化体育发展、残疾人事业文化宣传、残疾人康复服务、维权服务、部门基本运行保障等方面，全力保障冬残奥会、无障碍环境建设和市职托大楼建设等重点工作。</w:t>
            </w:r>
          </w:p>
        </w:tc>
      </w:tr>
      <w:tr>
        <w:tblPrEx>
          <w:tblCellMar>
            <w:top w:w="0" w:type="dxa"/>
            <w:left w:w="108" w:type="dxa"/>
            <w:bottom w:w="0" w:type="dxa"/>
            <w:right w:w="108" w:type="dxa"/>
          </w:tblCellMar>
        </w:tblPrEx>
        <w:trPr>
          <w:trHeight w:val="1236" w:hRule="atLeast"/>
          <w:jc w:val="center"/>
        </w:trPr>
        <w:tc>
          <w:tcPr>
            <w:tcW w:w="2487"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绩效指标二</w:t>
            </w:r>
          </w:p>
        </w:tc>
        <w:tc>
          <w:tcPr>
            <w:tcW w:w="647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产出质量指标：所有项目经过第三方审计机构预算评审，并出具预算评审报告。市残联执行理事会实行理事会会议、理事长办公会议、理事长专题会议等会议制度，坚持民主集中制原则，凡涉及规划计划、预算决策、政策法规、改革措施、重大活动、重要会议等重大事项决策，50万元以上的重大项目安排、大额资金支出等均提交执行理事会集体审议，100万元以上的重大项目和资金支出按规定提交党组会审议。</w:t>
            </w:r>
          </w:p>
        </w:tc>
      </w:tr>
      <w:tr>
        <w:tblPrEx>
          <w:tblCellMar>
            <w:top w:w="0" w:type="dxa"/>
            <w:left w:w="108" w:type="dxa"/>
            <w:bottom w:w="0" w:type="dxa"/>
            <w:right w:w="108" w:type="dxa"/>
          </w:tblCellMar>
        </w:tblPrEx>
        <w:trPr>
          <w:trHeight w:val="560" w:hRule="atLeast"/>
          <w:jc w:val="center"/>
        </w:trPr>
        <w:tc>
          <w:tcPr>
            <w:tcW w:w="2487"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绩效指标三</w:t>
            </w:r>
          </w:p>
        </w:tc>
        <w:tc>
          <w:tcPr>
            <w:tcW w:w="647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产出进度指标：按具体要求时间完成</w:t>
            </w:r>
          </w:p>
        </w:tc>
      </w:tr>
      <w:tr>
        <w:tblPrEx>
          <w:tblCellMar>
            <w:top w:w="0" w:type="dxa"/>
            <w:left w:w="108" w:type="dxa"/>
            <w:bottom w:w="0" w:type="dxa"/>
            <w:right w:w="108" w:type="dxa"/>
          </w:tblCellMar>
        </w:tblPrEx>
        <w:trPr>
          <w:trHeight w:val="710" w:hRule="atLeast"/>
          <w:jc w:val="center"/>
        </w:trPr>
        <w:tc>
          <w:tcPr>
            <w:tcW w:w="2487"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绩效指标四</w:t>
            </w:r>
          </w:p>
        </w:tc>
        <w:tc>
          <w:tcPr>
            <w:tcW w:w="647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产出成本指标：本着厉行节约和过紧日子的要求，所有项目支出均执行政府采购程序，并按照规定严格控制在预算内。</w:t>
            </w:r>
          </w:p>
        </w:tc>
      </w:tr>
      <w:tr>
        <w:tblPrEx>
          <w:tblCellMar>
            <w:top w:w="0" w:type="dxa"/>
            <w:left w:w="108" w:type="dxa"/>
            <w:bottom w:w="0" w:type="dxa"/>
            <w:right w:w="108" w:type="dxa"/>
          </w:tblCellMar>
        </w:tblPrEx>
        <w:trPr>
          <w:trHeight w:val="756" w:hRule="atLeast"/>
          <w:jc w:val="center"/>
        </w:trPr>
        <w:tc>
          <w:tcPr>
            <w:tcW w:w="2487"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绩效指标五</w:t>
            </w:r>
          </w:p>
        </w:tc>
        <w:tc>
          <w:tcPr>
            <w:tcW w:w="647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经济效益指标：通过残联帮扶政策的实施和具体培训、活动等工作开展，切实提高残疾人生活技能，增加社会认同感，投入社会参与建设，缓解家庭经济负担。</w:t>
            </w:r>
          </w:p>
        </w:tc>
      </w:tr>
      <w:tr>
        <w:tblPrEx>
          <w:tblCellMar>
            <w:top w:w="0" w:type="dxa"/>
            <w:left w:w="108" w:type="dxa"/>
            <w:bottom w:w="0" w:type="dxa"/>
            <w:right w:w="108" w:type="dxa"/>
          </w:tblCellMar>
        </w:tblPrEx>
        <w:trPr>
          <w:trHeight w:val="1020" w:hRule="atLeast"/>
          <w:jc w:val="center"/>
        </w:trPr>
        <w:tc>
          <w:tcPr>
            <w:tcW w:w="2487"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绩效指标六</w:t>
            </w:r>
          </w:p>
        </w:tc>
        <w:tc>
          <w:tcPr>
            <w:tcW w:w="647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社会效益指标：弘扬人道主义思想，发展残疾人事业，促进残疾人平等、充分参与社会生活，共享社会物质文化成果。北京市残联具有代表、服务、管理三项职能：代表残疾人共同利益，维护残疾人合法权益；团结帮助残疾人，为残疾人服务；履行法律赋予的职责，承担政府委托的任务，管理和发展残疾人事业。</w:t>
            </w:r>
          </w:p>
        </w:tc>
      </w:tr>
      <w:tr>
        <w:tblPrEx>
          <w:tblCellMar>
            <w:top w:w="0" w:type="dxa"/>
            <w:left w:w="108" w:type="dxa"/>
            <w:bottom w:w="0" w:type="dxa"/>
            <w:right w:w="108" w:type="dxa"/>
          </w:tblCellMar>
        </w:tblPrEx>
        <w:trPr>
          <w:trHeight w:val="714" w:hRule="atLeast"/>
          <w:jc w:val="center"/>
        </w:trPr>
        <w:tc>
          <w:tcPr>
            <w:tcW w:w="2487"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绩效指标七</w:t>
            </w:r>
          </w:p>
        </w:tc>
        <w:tc>
          <w:tcPr>
            <w:tcW w:w="647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可持续影响指标：进一步推进残联系统机制体制改革，解放思想，更新观念，坚持科学发展，推动残疾人事业可持续发展。</w:t>
            </w:r>
          </w:p>
        </w:tc>
      </w:tr>
      <w:tr>
        <w:tblPrEx>
          <w:tblCellMar>
            <w:top w:w="0" w:type="dxa"/>
            <w:left w:w="108" w:type="dxa"/>
            <w:bottom w:w="0" w:type="dxa"/>
            <w:right w:w="108" w:type="dxa"/>
          </w:tblCellMar>
        </w:tblPrEx>
        <w:trPr>
          <w:trHeight w:val="576" w:hRule="atLeast"/>
          <w:jc w:val="center"/>
        </w:trPr>
        <w:tc>
          <w:tcPr>
            <w:tcW w:w="2487"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绩效指标八</w:t>
            </w:r>
          </w:p>
        </w:tc>
        <w:tc>
          <w:tcPr>
            <w:tcW w:w="6477"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服务对象满意度指标：所有项目开展总体满意度≥85%</w:t>
            </w:r>
          </w:p>
        </w:tc>
      </w:tr>
    </w:tbl>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（3）部门整体绩效目标匹配程度分析</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北京市残联设置的部门年度绩效目标符合北京市残联部门职能职责，符合首都残疾人事业发展规划，符合部门年度重点工作任务，部门整体绩效目标匹配程度较高。</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（4）部门整体绩效目标合理性分析</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部门整体绩效目标的设置存在如下提升空间：</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①聚焦性和导向性。一是部门年度绩效目标的表述比较繁冗，中心不突出；二是各项绩效指标的填报内容未经过有效地整合。</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②细化、量化程度及可考核性。如产出数量指标中，未明确信息化建设、残联人文化体育发展等各项工作的年度产出。</w:t>
      </w:r>
    </w:p>
    <w:p>
      <w:pPr>
        <w:spacing w:line="580" w:lineRule="exact"/>
        <w:ind w:firstLine="560" w:firstLineChars="200"/>
        <w:rPr>
          <w:rFonts w:hint="eastAsia"/>
        </w:rPr>
      </w:pPr>
      <w:r>
        <w:rPr>
          <w:rFonts w:hint="eastAsia" w:ascii="仿宋_GB2312" w:hAnsi="仿宋_GB2312" w:eastAsia="仿宋_GB2312" w:cs="仿宋_GB2312"/>
          <w:sz w:val="28"/>
          <w:szCs w:val="28"/>
        </w:rPr>
        <w:t>③部门正常业绩水平和核心履职效果的体现程度。如“信息化建设、市职托大楼建设，残疾人文化体育发展、残疾人事业文化宣传、残疾人康复服务、维权服务、无障碍环境建设，保障冬残奥会”等为部门年度重点工作和核心履职任务，但这些任务要达到的目标和效果未在部门整体绩效目标中得到体现。</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（二）当年预算执行情况</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2021年全年预算数</w:t>
      </w:r>
      <w:r>
        <w:rPr>
          <w:rFonts w:hint="eastAsia" w:ascii="仿宋_GB2312" w:hAnsi="仿宋_GB2312" w:eastAsia="仿宋_GB2312" w:cs="仿宋_GB2312"/>
          <w:kern w:val="0"/>
          <w:sz w:val="28"/>
          <w:szCs w:val="28"/>
        </w:rPr>
        <w:t>49568.26</w:t>
      </w:r>
      <w:r>
        <w:rPr>
          <w:rFonts w:hint="eastAsia" w:ascii="仿宋_GB2312" w:hAnsi="仿宋_GB2312" w:eastAsia="仿宋_GB2312" w:cs="仿宋_GB2312"/>
          <w:color w:val="000000"/>
          <w:kern w:val="0"/>
          <w:sz w:val="28"/>
          <w:szCs w:val="28"/>
        </w:rPr>
        <w:t>万元，其中，基本支出预算数</w:t>
      </w:r>
      <w:r>
        <w:rPr>
          <w:rFonts w:hint="eastAsia" w:ascii="仿宋_GB2312" w:hAnsi="仿宋_GB2312" w:eastAsia="仿宋_GB2312" w:cs="仿宋_GB2312"/>
          <w:kern w:val="0"/>
          <w:sz w:val="28"/>
          <w:szCs w:val="28"/>
        </w:rPr>
        <w:t>13804.16</w:t>
      </w:r>
      <w:r>
        <w:rPr>
          <w:rFonts w:hint="eastAsia" w:ascii="仿宋_GB2312" w:hAnsi="仿宋_GB2312" w:eastAsia="仿宋_GB2312" w:cs="仿宋_GB2312"/>
          <w:color w:val="000000"/>
          <w:kern w:val="0"/>
          <w:sz w:val="28"/>
          <w:szCs w:val="28"/>
        </w:rPr>
        <w:t>万元，项目支出预算数</w:t>
      </w:r>
      <w:r>
        <w:rPr>
          <w:rFonts w:hint="eastAsia" w:ascii="仿宋_GB2312" w:hAnsi="仿宋_GB2312" w:eastAsia="仿宋_GB2312" w:cs="仿宋_GB2312"/>
          <w:kern w:val="0"/>
          <w:sz w:val="28"/>
          <w:szCs w:val="28"/>
        </w:rPr>
        <w:t>35764.10</w:t>
      </w:r>
      <w:r>
        <w:rPr>
          <w:rFonts w:hint="eastAsia" w:ascii="仿宋_GB2312" w:hAnsi="仿宋_GB2312" w:eastAsia="仿宋_GB2312" w:cs="仿宋_GB2312"/>
          <w:color w:val="000000"/>
          <w:kern w:val="0"/>
          <w:sz w:val="28"/>
          <w:szCs w:val="28"/>
        </w:rPr>
        <w:t>万元。资金总体支出</w:t>
      </w:r>
      <w:r>
        <w:rPr>
          <w:rFonts w:hint="eastAsia" w:ascii="仿宋_GB2312" w:hAnsi="仿宋_GB2312" w:eastAsia="仿宋_GB2312" w:cs="仿宋_GB2312"/>
          <w:kern w:val="0"/>
          <w:sz w:val="28"/>
          <w:szCs w:val="28"/>
        </w:rPr>
        <w:t>44495.24</w:t>
      </w:r>
      <w:r>
        <w:rPr>
          <w:rFonts w:hint="eastAsia" w:ascii="仿宋_GB2312" w:hAnsi="仿宋_GB2312" w:eastAsia="仿宋_GB2312" w:cs="仿宋_GB2312"/>
          <w:color w:val="000000"/>
          <w:kern w:val="0"/>
          <w:sz w:val="28"/>
          <w:szCs w:val="28"/>
        </w:rPr>
        <w:t>万元，其中，基本支出</w:t>
      </w:r>
      <w:r>
        <w:rPr>
          <w:rFonts w:hint="eastAsia" w:ascii="仿宋_GB2312" w:hAnsi="仿宋_GB2312" w:eastAsia="仿宋_GB2312" w:cs="仿宋_GB2312"/>
          <w:kern w:val="0"/>
          <w:sz w:val="28"/>
          <w:szCs w:val="28"/>
        </w:rPr>
        <w:t>13150.03</w:t>
      </w:r>
      <w:r>
        <w:rPr>
          <w:rFonts w:hint="eastAsia" w:ascii="仿宋_GB2312" w:hAnsi="仿宋_GB2312" w:eastAsia="仿宋_GB2312" w:cs="仿宋_GB2312"/>
          <w:color w:val="000000"/>
          <w:kern w:val="0"/>
          <w:sz w:val="28"/>
          <w:szCs w:val="28"/>
        </w:rPr>
        <w:t>万元，项目支出</w:t>
      </w:r>
      <w:r>
        <w:rPr>
          <w:rFonts w:hint="eastAsia" w:ascii="仿宋_GB2312" w:hAnsi="仿宋_GB2312" w:eastAsia="仿宋_GB2312" w:cs="仿宋_GB2312"/>
          <w:kern w:val="0"/>
          <w:sz w:val="28"/>
          <w:szCs w:val="28"/>
        </w:rPr>
        <w:t>31345.21</w:t>
      </w:r>
      <w:r>
        <w:rPr>
          <w:rFonts w:hint="eastAsia" w:ascii="仿宋_GB2312" w:hAnsi="仿宋_GB2312" w:eastAsia="仿宋_GB2312" w:cs="仿宋_GB2312"/>
          <w:color w:val="000000"/>
          <w:kern w:val="0"/>
          <w:sz w:val="28"/>
          <w:szCs w:val="28"/>
        </w:rPr>
        <w:t>万元。预算执行率为</w:t>
      </w:r>
      <w:r>
        <w:rPr>
          <w:rFonts w:hint="eastAsia" w:ascii="仿宋_GB2312" w:hAnsi="仿宋_GB2312" w:eastAsia="仿宋_GB2312" w:cs="仿宋_GB2312"/>
          <w:kern w:val="0"/>
          <w:sz w:val="28"/>
          <w:szCs w:val="28"/>
        </w:rPr>
        <w:t>89.77%</w:t>
      </w:r>
      <w:r>
        <w:rPr>
          <w:rFonts w:hint="eastAsia" w:ascii="仿宋_GB2312" w:hAnsi="仿宋_GB2312" w:eastAsia="仿宋_GB2312" w:cs="仿宋_GB2312"/>
          <w:color w:val="000000"/>
          <w:kern w:val="0"/>
          <w:sz w:val="28"/>
          <w:szCs w:val="28"/>
        </w:rPr>
        <w:t>。</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（三）整体绩效目标实现情况</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1.产出完成情况分析</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（1）产出数量</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2021年度北京市残联积极推动落实首都残疾人事业发展工作，各项产出数量指标按照计划完成。</w:t>
      </w:r>
    </w:p>
    <w:p>
      <w:pPr>
        <w:spacing w:line="600" w:lineRule="exact"/>
        <w:ind w:left="105" w:leftChars="50" w:firstLine="360" w:firstLineChars="150"/>
        <w:jc w:val="center"/>
        <w:rPr>
          <w:rFonts w:ascii="黑体" w:hAnsi="黑体" w:eastAsia="黑体" w:cs="黑体"/>
          <w:kern w:val="0"/>
          <w:sz w:val="24"/>
        </w:rPr>
      </w:pPr>
      <w:r>
        <w:rPr>
          <w:rFonts w:hint="eastAsia" w:ascii="黑体" w:hAnsi="黑体" w:eastAsia="黑体" w:cs="黑体"/>
          <w:kern w:val="0"/>
          <w:sz w:val="24"/>
        </w:rPr>
        <w:t>2021年度北京市残联部门整体产出数量指标完成情况</w:t>
      </w:r>
    </w:p>
    <w:tbl>
      <w:tblPr>
        <w:tblStyle w:val="5"/>
        <w:tblW w:w="8836" w:type="dxa"/>
        <w:jc w:val="center"/>
        <w:tblLayout w:type="fixed"/>
        <w:tblCellMar>
          <w:top w:w="0" w:type="dxa"/>
          <w:left w:w="108" w:type="dxa"/>
          <w:bottom w:w="0" w:type="dxa"/>
          <w:right w:w="108" w:type="dxa"/>
        </w:tblCellMar>
      </w:tblPr>
      <w:tblGrid>
        <w:gridCol w:w="661"/>
        <w:gridCol w:w="3854"/>
        <w:gridCol w:w="3361"/>
        <w:gridCol w:w="960"/>
      </w:tblGrid>
      <w:tr>
        <w:tblPrEx>
          <w:tblCellMar>
            <w:top w:w="0" w:type="dxa"/>
            <w:left w:w="108" w:type="dxa"/>
            <w:bottom w:w="0" w:type="dxa"/>
            <w:right w:w="108" w:type="dxa"/>
          </w:tblCellMar>
        </w:tblPrEx>
        <w:trPr>
          <w:trHeight w:val="519" w:hRule="atLeast"/>
          <w:jc w:val="center"/>
        </w:trPr>
        <w:tc>
          <w:tcPr>
            <w:tcW w:w="661" w:type="dxa"/>
            <w:tcBorders>
              <w:top w:val="single" w:color="000000" w:sz="4" w:space="0"/>
              <w:left w:val="single" w:color="000000" w:sz="4" w:space="0"/>
              <w:bottom w:val="single" w:color="000000" w:sz="4" w:space="0"/>
              <w:right w:val="single" w:color="000000" w:sz="4" w:space="0"/>
            </w:tcBorders>
            <w:shd w:val="clear" w:color="auto" w:fill="BFBFBF"/>
            <w:noWrap w:val="0"/>
            <w:vAlign w:val="center"/>
          </w:tcPr>
          <w:p>
            <w:pPr>
              <w:widowControl/>
              <w:jc w:val="center"/>
              <w:textAlignment w:val="center"/>
              <w:rPr>
                <w:rFonts w:ascii="宋体" w:hAnsi="宋体" w:cs="宋体"/>
                <w:b/>
                <w:bCs/>
                <w:sz w:val="22"/>
                <w:szCs w:val="22"/>
              </w:rPr>
            </w:pPr>
            <w:r>
              <w:rPr>
                <w:rFonts w:hint="eastAsia" w:ascii="宋体" w:hAnsi="宋体" w:cs="宋体"/>
                <w:b/>
                <w:bCs/>
                <w:kern w:val="0"/>
                <w:sz w:val="22"/>
                <w:szCs w:val="22"/>
              </w:rPr>
              <w:t>序号</w:t>
            </w:r>
          </w:p>
        </w:tc>
        <w:tc>
          <w:tcPr>
            <w:tcW w:w="3854" w:type="dxa"/>
            <w:tcBorders>
              <w:top w:val="single" w:color="000000" w:sz="4" w:space="0"/>
              <w:left w:val="single" w:color="000000" w:sz="4" w:space="0"/>
              <w:bottom w:val="single" w:color="000000" w:sz="4" w:space="0"/>
              <w:right w:val="single" w:color="000000" w:sz="4" w:space="0"/>
            </w:tcBorders>
            <w:shd w:val="clear" w:color="auto" w:fill="BFBFBF"/>
            <w:noWrap/>
            <w:vAlign w:val="center"/>
          </w:tcPr>
          <w:p>
            <w:pPr>
              <w:widowControl/>
              <w:jc w:val="center"/>
              <w:textAlignment w:val="center"/>
              <w:rPr>
                <w:rFonts w:ascii="宋体" w:hAnsi="宋体" w:cs="宋体"/>
                <w:b/>
                <w:bCs/>
                <w:sz w:val="22"/>
                <w:szCs w:val="22"/>
              </w:rPr>
            </w:pPr>
            <w:r>
              <w:rPr>
                <w:rFonts w:hint="eastAsia" w:ascii="宋体" w:hAnsi="宋体" w:cs="宋体"/>
                <w:b/>
                <w:bCs/>
                <w:kern w:val="0"/>
                <w:sz w:val="22"/>
                <w:szCs w:val="22"/>
              </w:rPr>
              <w:t>具体绩效指标</w:t>
            </w:r>
          </w:p>
        </w:tc>
        <w:tc>
          <w:tcPr>
            <w:tcW w:w="3361" w:type="dxa"/>
            <w:tcBorders>
              <w:top w:val="single" w:color="000000" w:sz="4" w:space="0"/>
              <w:left w:val="single" w:color="000000" w:sz="4" w:space="0"/>
              <w:bottom w:val="single" w:color="000000" w:sz="4" w:space="0"/>
              <w:right w:val="single" w:color="000000" w:sz="4" w:space="0"/>
            </w:tcBorders>
            <w:shd w:val="clear" w:color="auto" w:fill="BFBFBF"/>
            <w:noWrap/>
            <w:vAlign w:val="center"/>
          </w:tcPr>
          <w:p>
            <w:pPr>
              <w:widowControl/>
              <w:jc w:val="center"/>
              <w:textAlignment w:val="center"/>
              <w:rPr>
                <w:rFonts w:ascii="宋体" w:hAnsi="宋体" w:cs="宋体"/>
                <w:b/>
                <w:bCs/>
                <w:sz w:val="22"/>
                <w:szCs w:val="22"/>
              </w:rPr>
            </w:pPr>
            <w:r>
              <w:rPr>
                <w:rFonts w:hint="eastAsia" w:ascii="宋体" w:hAnsi="宋体" w:cs="宋体"/>
                <w:b/>
                <w:bCs/>
                <w:kern w:val="0"/>
                <w:sz w:val="22"/>
                <w:szCs w:val="22"/>
              </w:rPr>
              <w:t>计划值</w:t>
            </w:r>
          </w:p>
        </w:tc>
        <w:tc>
          <w:tcPr>
            <w:tcW w:w="960" w:type="dxa"/>
            <w:tcBorders>
              <w:top w:val="single" w:color="000000" w:sz="4" w:space="0"/>
              <w:left w:val="single" w:color="000000" w:sz="4" w:space="0"/>
              <w:bottom w:val="single" w:color="000000" w:sz="4" w:space="0"/>
              <w:right w:val="single" w:color="000000" w:sz="4" w:space="0"/>
            </w:tcBorders>
            <w:shd w:val="clear" w:color="auto" w:fill="BFBFBF"/>
            <w:noWrap/>
            <w:vAlign w:val="center"/>
          </w:tcPr>
          <w:p>
            <w:pPr>
              <w:widowControl/>
              <w:jc w:val="center"/>
              <w:textAlignment w:val="center"/>
              <w:rPr>
                <w:rFonts w:ascii="宋体" w:hAnsi="宋体" w:cs="宋体"/>
                <w:b/>
                <w:bCs/>
                <w:sz w:val="22"/>
                <w:szCs w:val="22"/>
              </w:rPr>
            </w:pPr>
            <w:r>
              <w:rPr>
                <w:rFonts w:hint="eastAsia" w:ascii="宋体" w:hAnsi="宋体" w:cs="宋体"/>
                <w:b/>
                <w:bCs/>
                <w:kern w:val="0"/>
                <w:sz w:val="22"/>
                <w:szCs w:val="22"/>
              </w:rPr>
              <w:t>完成值</w:t>
            </w:r>
          </w:p>
        </w:tc>
      </w:tr>
      <w:tr>
        <w:tblPrEx>
          <w:tblCellMar>
            <w:top w:w="0" w:type="dxa"/>
            <w:left w:w="108" w:type="dxa"/>
            <w:bottom w:w="0" w:type="dxa"/>
            <w:right w:w="108" w:type="dxa"/>
          </w:tblCellMar>
        </w:tblPrEx>
        <w:trPr>
          <w:trHeight w:val="960" w:hRule="atLeast"/>
          <w:jc w:val="center"/>
        </w:trPr>
        <w:tc>
          <w:tcPr>
            <w:tcW w:w="6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w:t>
            </w:r>
          </w:p>
        </w:tc>
        <w:tc>
          <w:tcPr>
            <w:tcW w:w="3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7个信息化项目</w:t>
            </w:r>
          </w:p>
        </w:tc>
        <w:tc>
          <w:tcPr>
            <w:tcW w:w="33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职托大楼信息化项目、财务系统信息化项目、人事档案数字化项目、信息化系统升级改造等7个项目</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已完成</w:t>
            </w:r>
          </w:p>
        </w:tc>
      </w:tr>
      <w:tr>
        <w:tblPrEx>
          <w:tblCellMar>
            <w:top w:w="0" w:type="dxa"/>
            <w:left w:w="108" w:type="dxa"/>
            <w:bottom w:w="0" w:type="dxa"/>
            <w:right w:w="108" w:type="dxa"/>
          </w:tblCellMar>
        </w:tblPrEx>
        <w:trPr>
          <w:trHeight w:val="960" w:hRule="atLeast"/>
          <w:jc w:val="center"/>
        </w:trPr>
        <w:tc>
          <w:tcPr>
            <w:tcW w:w="6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w:t>
            </w:r>
          </w:p>
        </w:tc>
        <w:tc>
          <w:tcPr>
            <w:tcW w:w="3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参加十一届全国残疾人运动会暨第八届特殊奥林匹克运动会比赛运动队员数量</w:t>
            </w:r>
          </w:p>
        </w:tc>
        <w:tc>
          <w:tcPr>
            <w:tcW w:w="33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Style w:val="7"/>
                <w:rFonts w:hint="default"/>
                <w:color w:val="auto"/>
                <w:sz w:val="22"/>
                <w:szCs w:val="22"/>
              </w:rPr>
              <w:t>不少于</w:t>
            </w:r>
            <w:r>
              <w:rPr>
                <w:rStyle w:val="8"/>
                <w:rFonts w:ascii="宋体" w:hAnsi="宋体" w:cs="宋体"/>
                <w:color w:val="auto"/>
                <w:sz w:val="22"/>
                <w:szCs w:val="22"/>
              </w:rPr>
              <w:t>349</w:t>
            </w:r>
            <w:r>
              <w:rPr>
                <w:rStyle w:val="7"/>
                <w:rFonts w:hint="default"/>
                <w:color w:val="auto"/>
                <w:sz w:val="22"/>
                <w:szCs w:val="22"/>
              </w:rPr>
              <w:t>人</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Style w:val="8"/>
                <w:rFonts w:ascii="宋体" w:hAnsi="宋体" w:cs="宋体"/>
                <w:color w:val="auto"/>
                <w:sz w:val="22"/>
                <w:szCs w:val="22"/>
              </w:rPr>
              <w:t>339</w:t>
            </w:r>
            <w:r>
              <w:rPr>
                <w:rStyle w:val="7"/>
                <w:rFonts w:hint="default"/>
                <w:color w:val="auto"/>
                <w:sz w:val="22"/>
                <w:szCs w:val="22"/>
              </w:rPr>
              <w:t>人</w:t>
            </w:r>
          </w:p>
        </w:tc>
      </w:tr>
      <w:tr>
        <w:tblPrEx>
          <w:tblCellMar>
            <w:top w:w="0" w:type="dxa"/>
            <w:left w:w="108" w:type="dxa"/>
            <w:bottom w:w="0" w:type="dxa"/>
            <w:right w:w="108" w:type="dxa"/>
          </w:tblCellMar>
        </w:tblPrEx>
        <w:trPr>
          <w:trHeight w:val="480" w:hRule="atLeast"/>
          <w:jc w:val="center"/>
        </w:trPr>
        <w:tc>
          <w:tcPr>
            <w:tcW w:w="6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3</w:t>
            </w:r>
          </w:p>
        </w:tc>
        <w:tc>
          <w:tcPr>
            <w:tcW w:w="3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庆祝建党100周年大型文化展览系列活动</w:t>
            </w:r>
          </w:p>
        </w:tc>
        <w:tc>
          <w:tcPr>
            <w:tcW w:w="33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Style w:val="7"/>
                <w:rFonts w:hint="default"/>
                <w:color w:val="auto"/>
                <w:sz w:val="22"/>
                <w:szCs w:val="22"/>
              </w:rPr>
              <w:t>不少于</w:t>
            </w:r>
            <w:r>
              <w:rPr>
                <w:rStyle w:val="8"/>
                <w:rFonts w:hint="eastAsia" w:ascii="宋体" w:hAnsi="宋体" w:cs="宋体"/>
                <w:color w:val="auto"/>
                <w:sz w:val="22"/>
                <w:szCs w:val="22"/>
              </w:rPr>
              <w:t>2</w:t>
            </w:r>
            <w:r>
              <w:rPr>
                <w:rStyle w:val="7"/>
                <w:rFonts w:hint="default"/>
                <w:color w:val="auto"/>
                <w:sz w:val="22"/>
                <w:szCs w:val="22"/>
              </w:rPr>
              <w:t>场文艺汇演</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7</w:t>
            </w:r>
          </w:p>
        </w:tc>
      </w:tr>
      <w:tr>
        <w:tblPrEx>
          <w:tblCellMar>
            <w:top w:w="0" w:type="dxa"/>
            <w:left w:w="108" w:type="dxa"/>
            <w:bottom w:w="0" w:type="dxa"/>
            <w:right w:w="108" w:type="dxa"/>
          </w:tblCellMar>
        </w:tblPrEx>
        <w:trPr>
          <w:trHeight w:val="480" w:hRule="atLeast"/>
          <w:jc w:val="center"/>
        </w:trPr>
        <w:tc>
          <w:tcPr>
            <w:tcW w:w="6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4</w:t>
            </w:r>
          </w:p>
        </w:tc>
        <w:tc>
          <w:tcPr>
            <w:tcW w:w="3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残疾人康复服务受众人数</w:t>
            </w:r>
          </w:p>
        </w:tc>
        <w:tc>
          <w:tcPr>
            <w:tcW w:w="33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不低于</w:t>
            </w:r>
            <w:r>
              <w:rPr>
                <w:rStyle w:val="8"/>
                <w:rFonts w:hint="eastAsia" w:ascii="宋体" w:hAnsi="宋体" w:cs="宋体"/>
                <w:color w:val="auto"/>
                <w:sz w:val="22"/>
                <w:szCs w:val="22"/>
              </w:rPr>
              <w:t>20</w:t>
            </w:r>
            <w:r>
              <w:rPr>
                <w:rStyle w:val="7"/>
                <w:rFonts w:hint="default"/>
                <w:color w:val="auto"/>
                <w:sz w:val="22"/>
                <w:szCs w:val="22"/>
              </w:rPr>
              <w:t>万人</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22.7</w:t>
            </w:r>
            <w:r>
              <w:rPr>
                <w:rStyle w:val="7"/>
                <w:rFonts w:hint="default"/>
                <w:color w:val="auto"/>
                <w:sz w:val="22"/>
                <w:szCs w:val="22"/>
              </w:rPr>
              <w:t>万</w:t>
            </w:r>
          </w:p>
        </w:tc>
      </w:tr>
      <w:tr>
        <w:tblPrEx>
          <w:tblCellMar>
            <w:top w:w="0" w:type="dxa"/>
            <w:left w:w="108" w:type="dxa"/>
            <w:bottom w:w="0" w:type="dxa"/>
            <w:right w:w="108" w:type="dxa"/>
          </w:tblCellMar>
        </w:tblPrEx>
        <w:trPr>
          <w:trHeight w:val="480" w:hRule="atLeast"/>
          <w:jc w:val="center"/>
        </w:trPr>
        <w:tc>
          <w:tcPr>
            <w:tcW w:w="6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5</w:t>
            </w:r>
          </w:p>
        </w:tc>
        <w:tc>
          <w:tcPr>
            <w:tcW w:w="3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残疾人维权专题宣传节目</w:t>
            </w:r>
          </w:p>
        </w:tc>
        <w:tc>
          <w:tcPr>
            <w:tcW w:w="33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不低于24期</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26</w:t>
            </w:r>
          </w:p>
        </w:tc>
      </w:tr>
      <w:tr>
        <w:tblPrEx>
          <w:tblCellMar>
            <w:top w:w="0" w:type="dxa"/>
            <w:left w:w="108" w:type="dxa"/>
            <w:bottom w:w="0" w:type="dxa"/>
            <w:right w:w="108" w:type="dxa"/>
          </w:tblCellMar>
        </w:tblPrEx>
        <w:trPr>
          <w:trHeight w:val="480" w:hRule="atLeast"/>
          <w:jc w:val="center"/>
        </w:trPr>
        <w:tc>
          <w:tcPr>
            <w:tcW w:w="6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6</w:t>
            </w:r>
          </w:p>
        </w:tc>
        <w:tc>
          <w:tcPr>
            <w:tcW w:w="3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冬残奥会北京队入选国家集训队人数</w:t>
            </w:r>
          </w:p>
        </w:tc>
        <w:tc>
          <w:tcPr>
            <w:tcW w:w="33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10</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24</w:t>
            </w:r>
          </w:p>
        </w:tc>
      </w:tr>
      <w:tr>
        <w:tblPrEx>
          <w:tblCellMar>
            <w:top w:w="0" w:type="dxa"/>
            <w:left w:w="108" w:type="dxa"/>
            <w:bottom w:w="0" w:type="dxa"/>
            <w:right w:w="108" w:type="dxa"/>
          </w:tblCellMar>
        </w:tblPrEx>
        <w:trPr>
          <w:trHeight w:val="480" w:hRule="atLeast"/>
          <w:jc w:val="center"/>
        </w:trPr>
        <w:tc>
          <w:tcPr>
            <w:tcW w:w="6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7</w:t>
            </w:r>
          </w:p>
        </w:tc>
        <w:tc>
          <w:tcPr>
            <w:tcW w:w="3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无障碍环境建设整改点位数量</w:t>
            </w:r>
          </w:p>
        </w:tc>
        <w:tc>
          <w:tcPr>
            <w:tcW w:w="33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不低于</w:t>
            </w:r>
            <w:r>
              <w:rPr>
                <w:rStyle w:val="8"/>
                <w:rFonts w:hint="eastAsia" w:ascii="宋体" w:hAnsi="宋体" w:cs="宋体"/>
                <w:color w:val="auto"/>
                <w:sz w:val="22"/>
                <w:szCs w:val="22"/>
              </w:rPr>
              <w:t>13</w:t>
            </w:r>
            <w:r>
              <w:rPr>
                <w:rStyle w:val="7"/>
                <w:rFonts w:hint="default"/>
                <w:color w:val="auto"/>
                <w:sz w:val="22"/>
                <w:szCs w:val="22"/>
              </w:rPr>
              <w:t>万个</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19.3</w:t>
            </w:r>
            <w:r>
              <w:rPr>
                <w:rStyle w:val="7"/>
                <w:rFonts w:hint="default"/>
                <w:color w:val="auto"/>
                <w:sz w:val="22"/>
                <w:szCs w:val="22"/>
              </w:rPr>
              <w:t>万</w:t>
            </w:r>
          </w:p>
        </w:tc>
      </w:tr>
      <w:tr>
        <w:tblPrEx>
          <w:tblCellMar>
            <w:top w:w="0" w:type="dxa"/>
            <w:left w:w="108" w:type="dxa"/>
            <w:bottom w:w="0" w:type="dxa"/>
            <w:right w:w="108" w:type="dxa"/>
          </w:tblCellMar>
        </w:tblPrEx>
        <w:trPr>
          <w:trHeight w:val="480" w:hRule="atLeast"/>
          <w:jc w:val="center"/>
        </w:trPr>
        <w:tc>
          <w:tcPr>
            <w:tcW w:w="6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8</w:t>
            </w:r>
          </w:p>
        </w:tc>
        <w:tc>
          <w:tcPr>
            <w:tcW w:w="3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1栋北京市残疾人职康和托养服务中心大楼</w:t>
            </w:r>
          </w:p>
        </w:tc>
        <w:tc>
          <w:tcPr>
            <w:tcW w:w="33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Style w:val="8"/>
                <w:rFonts w:hint="eastAsia" w:ascii="宋体" w:hAnsi="宋体" w:cs="宋体"/>
                <w:color w:val="auto"/>
                <w:sz w:val="22"/>
                <w:szCs w:val="22"/>
              </w:rPr>
              <w:t>1</w:t>
            </w:r>
            <w:r>
              <w:rPr>
                <w:rStyle w:val="7"/>
                <w:rFonts w:hint="default"/>
                <w:color w:val="auto"/>
                <w:sz w:val="22"/>
                <w:szCs w:val="22"/>
              </w:rPr>
              <w:t>栋大楼完成装修改造</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已完成</w:t>
            </w:r>
          </w:p>
        </w:tc>
      </w:tr>
    </w:tbl>
    <w:p>
      <w:pPr>
        <w:spacing w:line="600" w:lineRule="exact"/>
        <w:ind w:left="105" w:leftChars="50" w:firstLine="480" w:firstLineChars="150"/>
        <w:rPr>
          <w:rFonts w:eastAsia="仿宋"/>
          <w:kern w:val="0"/>
          <w:sz w:val="32"/>
          <w:szCs w:val="32"/>
        </w:rPr>
      </w:pP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①信息化项目：加强信息化建设、提高残疾人事业现代化治理能力和治理水平，是“十四五”期间北京市委市政府对市残联的嘱咐，也是首都残疾人事业高质量发展的内在要求，2021年度北京市残联申请财政资金约2653.74万元支付机关本级和所属单位的各类信息化建设、升级改造、运维、网络安全等项目，包括职托大楼信息化项目、财务系统信息化项目、人事档案数字化项目、信息化系统升级改造项目、网络和主机运维及信息安全服务项目、业务系统运维和数据服务项目，以及支付2020年信息化建设项目（合同）尾款。工作组经核实相关项目材料、绩效自评表和佐证材料，上述信息化建设工作基本已按约定进度完成，进一步为部门现代化建设夯实基础、补齐短板。</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②残疾人体育事业：北京市残联重视发展首都残疾人体育事业，组织残疾人参与经常性的普及型的基础冬季运动活动，举办残疾人大众冰雪趣味运动会和京津冀三地残疾人冬季群众体育交流大会，带动万人次残疾人上冰雪；组织第二届“健康杯”全市残疾人群众体育大会，开展“冬奥进社区”流动大讲堂系列活动，普及康复健身体育知识。上述努力为北京市残疾人运动队伍的发展壮大产生了积极影响，参加第十一届全国残疾人运动会暨第八届特殊奥林匹克运动会比赛运动队员数量预计不少于349人，在疫情影响下，北京市残联在保证竞赛成绩预期的基础上，充分发挥资金使用效益，压缩了参赛人数，实际参赛人数为339人。确保了预期参赛目标实现。</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③建党100周年主题宣传活动：2021年是建党100周年，也是“十四五”开局之年，北京市残联牢记“看北京首先要从政治上看”的要求，忠诚履行部门职责，举办各类宣传文娱活动喜迎建党100周年，如举办庆祝建党100周年文辑及展示1次，举办“奋斗百年路 启航新征程”----庆祝建党100周年大型文化展览系列活动，包括残疾人书画、摄影展及文创作品展示活动，参加活动人员1000余人次，并在第二届“京彩”网络正能量精品评选活动中，被北京市委网信办评为优秀“网络正能量活动”。还包括各期走基层送文艺汇演、参加第十届全国残疾人艺术汇演等，并取得优异成绩。参赛四大类别7个节目，获评4个一类作品，2个二类作品，2个创作类作品。圆满完成建党100周年主题宣传活动。</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④残疾人康复服务：2021年度，北京市残联按照“七有”“五性”工作要求，继续完善3个专项康复保障政策，修订印发了2021年《北京市残疾人辅助器具购买补贴目录》和《北京市残疾人基本康复目录》；开展“十四五”时期残疾人健康促进工作研究，制定了《北京市“十四五”残疾人康复工作实施方案》，连续四年向社会发布残疾预防工作报告。扎实推进精准康复工作，为82056名残疾人提供了康复与辅具政策服务，40491名精神残疾人享受了免费服药，29367名残疾人享受医疗保险，31898名残疾人参加了在线心理知识培训。组织第三方机构对96家康复机构开展了167次实地督查。2021年为22.7万名残疾人提供了基本康复服务，基本康复服务覆盖率超过了99%，满意率99.1%，达到年初设定的90%以上的基本康复服务覆盖率目标。</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⑤残疾人维权服务：2021年度北京市残联继续做好首都残疾人权益保障工作，继续开展法治宣传活动，健全残疾人事业发展保障体系，强化法治残联建设，继续做好残疾人维权业务培训，提升残疾人工作者维权工作能力，不断提高运用法治思维和法治方式推动工作的能力，为加快残疾人小康进程营造良好的法治环境；同时继续做好肢体一二级残疾人乘坐无障碍出租车补贴工作，更好方便残疾人出行。2021年度计划制作残疾人维权专题宣传节目不少于24期，即每月不少于2期，实际完成26期，分别为北京电视台科教频道《法治进行时》栏目制作播放20期节目，以及北京电视台财经频道《财富剧场》栏目专题片《助残行动 我们在路上》制作播放6期节目，完成目标。</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⑥备战冬奥会、冬残奥会：精心保障国家轮椅冰壶队和残疾人高山滑雪队集训；配合做好冬残奥会测试赛及整体氛围营造；成立冬奥备战工作小组，细化职责，全力以赴把承训工作抓实、抓细、抓好；制定出台管理规定，有计划、有步奏、高效益地安排和进行队伍训练工作，确保目标实现；明确冬奥会和冬残奥会运行特殊需求，指导督促相关部门编制好交通、住宿、医疗、媒体、信息服务等专项计划，抓好组织实施，提供周到便捷的无障碍服务；撰写无障碍服务指南、残疾人志愿服务手册，加强冬奥志愿者和涉奥从业人员培训，提供残疾人服务指导；推动北京电视台新闻节目配置手语翻译；积极联系国际国内高水平专业人员保障队伍，力争打造纪律优良、作风过硬、敢打敢拼的高水平队伍。2021年度预计北京队10名残疾人运动员入选国家队集训，实际24人进入集训，其中运动员18人、导滑员3人、教练员3人，为国家队争奖牌、拼荣誉充实坚强力量。</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⑦无障碍环境建设：落实市无障碍环境建设专项行动工作组办公室职责，组织各区、市有关部门不折不扣完成专项行动任务，持续聚焦3个重点区域4个重点领域17项重点任务；打造无障碍环境示范街区、精品示范样板工程，做好冬奥场馆红线之外的主办城市运行保障中的无障碍工作；推动落实《街边门店无障碍提升设计指引》，着力解决“七小”门店无障碍等群众身边“关键小事”；持续推进居住社区和居家环境无障碍改造；发挥行政综合执法、网格化管理和社会监督综合作用，以公共停车场、盲道、无障碍通道、公共卫生间等领域和涉奥场所为重点，持续推进无障碍设施占用专项整治；强化科技支撑，研究支持智能导盲系统应用、无障碍设施智能管护等有关问题；完善法治保障，配合完成《北京市无障碍设施建设和管理条例》修订，固化北京经验。2021年计划全市整治、整改无障碍环境点位总量不低于13万个，实际完成19.3万个，超额完成任务，群众满意度达到88.35%。</w:t>
      </w:r>
    </w:p>
    <w:p>
      <w:pPr>
        <w:spacing w:line="580" w:lineRule="exact"/>
        <w:ind w:firstLine="560" w:firstLineChars="200"/>
        <w:rPr>
          <w:rFonts w:hint="eastAsia"/>
        </w:rPr>
      </w:pPr>
      <w:r>
        <w:rPr>
          <w:rFonts w:hint="eastAsia" w:ascii="仿宋_GB2312" w:hAnsi="仿宋_GB2312" w:eastAsia="仿宋_GB2312" w:cs="仿宋_GB2312"/>
          <w:color w:val="000000"/>
          <w:kern w:val="0"/>
          <w:sz w:val="28"/>
          <w:szCs w:val="28"/>
        </w:rPr>
        <w:t>⑧职托大楼装修改造：根据北京市发改委《关于购置北京市残疾人职业康复和托养服务中心项目建议书（代可行性研究报告）的函》（京发改〔2015〕376号）和《北京市残疾人职业康复和托养服务中心功能定位初步设想》，北京市残疾人职业康复和托养服务中心（以下简称“职托中心”）是专业化残疾人服务示范中心，是为全市残疾人提供职业康复、喘息托养、就业实训、服务孵化、交流展示的综合性服务阵地，承担组织开展残疾人服务示范工作，孵化推广助残服务项目，为残疾人就业提供实训基地，开展残疾人事业发展成果展示交流的职能。同时也是北京2022年冬奥会冬残奥会期间向国际社会展示中国人文形象、中国残疾人事业发展成就和首都残疾人服务保障水平的重要窗口，是展示国内高标准无障碍环境建设水平的示范精品。2021年度北京市残联申请13000万元资金对职托中心1栋大楼进行装修改造，经工作组审定，已完成预期目标。</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（2）产出质量</w:t>
      </w:r>
    </w:p>
    <w:p>
      <w:pPr>
        <w:pStyle w:val="2"/>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北京市残联通过设置预算评审机制对项目成本进行监管控制和绩效管理，通过设置理事会机制对项目实施质量和进度进行有效管控，部门2021年整体支出的质量要求是同时通过预算评审机制和理事会审议机制。</w:t>
      </w:r>
    </w:p>
    <w:p>
      <w:pPr>
        <w:pStyle w:val="2"/>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北京市残联2021年初进行了各项目支出预算的申请，根据《北京市财政局关于同意调整北京市残疾人联合会2021年经费预算的函》等，部门于年中进行了项目预算的调整，并对调整的项目进行了第三方机构的预算评审，获得市级财政预算批复；北京市残联2021年度召开理事长办公会18次、审议议题126个，其中包含了对当年预算项目决策和执行效果的审议。由此可见，2021年度部门产出质量得到有效的机制保障，效果达到预期。</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（3）产出进度</w:t>
      </w:r>
    </w:p>
    <w:p>
      <w:pPr>
        <w:pStyle w:val="2"/>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根据部门整体产出目标完成情况分析，北京市残联各项工作基本能够按照计划和调整后的进度要求完成。通过年度各项工作有序推进落实，有效保障了项目实施进度及产出时效性。</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（4）产出成本</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在委托业务方面，按照部门内部控制采购审批程序确定委托合同价格，合理控制部门经费支出成本；同时在部门预算执行过程中，通过“财务集成平台”有效履行预算资金审批使用相关规定，采取厉行节约措施，有效控制各项费用支出，委托业务实际经费支出严格按合同执行，经费支出符合部门履职范围，2021年度部门整体预算支出49568.26万元，实际支出44495.24万元，部门总体资金支出控制在预算范围内，未出现超支情况，部门整体成本控制情况较好。                                   </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2.效果实现情况分析</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（1）经济效益</w:t>
      </w:r>
    </w:p>
    <w:p>
      <w:pPr>
        <w:pStyle w:val="2"/>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北京市残联每年持续对首都各类残疾人士提供积极、稳健的扶持政策，包括职业技能培训、残疾人劳动技能鉴定，同时联系京津冀地区对口帮扶企业拓宽招聘渠道、吸纳符合条件的残疾人就业，提高残疾人经济收入；不仅如此，依法依规、逐年加大对残疾人在就医、教育、心理咨询、社会活动等方面的惠民政策，让残疾人在医疗、生活、外出活动等方面的支出进一步降低，对缓解残疾人家庭经济负担产生一定的积极影响。</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（2）社会效益</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①残疾人康复管理日益精进。一是夯实基本康复服务兜底保障功能，以最有效措施解决残疾人的直接需求。积极推进工作成本低、效益好的残疾预防项目，切实减少残疾发生、发展。努力将康复纳入健康北京工作内容，将维护和促进残疾群众身心健康作为康复服务的重要任务。二是大力推进医疗康复和非医疗康复发展，协助卫健部门推进康复医院转型，加强社区医疗机构康复功能建设，注重残疾人非医疗康复服务需求，完善残疾人专项康复制度建设，理顺了从医疗机构到社区和家庭的服务路径，建立了涵盖残疾人多种基本康复服务内容的全面康复模式。三是大力促进社会力量规范服务。协调政府职能部门通过检查、现场指导等方式，从“资质、安全、健康”等方面审定民办康复机构的服务资格，促进了职能部门对民办康复服务机构的管理与监督职责。完善量化监测指标，安排第三方以3‰比例抽查各区工作质量，发挥“七有”“五性”监测结果的引导功能。</w:t>
      </w:r>
    </w:p>
    <w:p>
      <w:pPr>
        <w:pStyle w:val="2"/>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②残疾人事业宣传求实求效。一是与北京市电视台合作，制作20期助残专题电视节目，同时开展6期（每期约30分钟）的无障碍环境建设专题宣传及残疾人事业宣传，电视观众满意度高达90%以上。二是北京市残联宣讲团进机关、学校、企业等单位开展宣讲，具体为到大兴区残联、西城区残联、人大附小京西分校、东城区残联、北京印刷学院附属小学、北京市石景山区海特花园小学、北京市海淀区五一小学、北京市城市道路养护管理中心、北京市第八十中学睿实分校、北京市京源学校莲石湖分校等机关、企业、学校开展“云宣讲”，累计开展10场专场报告会，受众达5485人。三是依托现代融媒体开展“北京残联”新媒体发布，通过微信、微博、头条、直播、抖音、语音、新媒体活动、北京日报、北京晚报微信号发布、H5制作及发布等媒介，全年发布各类残疾人事业信息，提高阅读量和点击量。四是挚友杂志及无障碍成果集印刷，印刷为高规格每本杂志大16开、５２页、4个彩色整版，每年刊印11000册。五是北京市残联海外社交媒体账号率先上线、被评为2021年度海外优秀社交媒体平台，残疾人创作的文化作品、手工艺品成为商品、外事交往礼品、冬奥特许产品，残疾人群体唱响的《一起向未来》受到各方肯定。</w:t>
      </w:r>
    </w:p>
    <w:p>
      <w:pPr>
        <w:spacing w:line="60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③残疾人体育风貌生生不息。东京残奥会创造北京市参加境外残奥会历史最佳战绩；2022北京冬残奥会，北京市12名运动员入选中国冬残奥体育代表团，参加了5个大项比赛，获得5金2银2铜，超额完成任务目标。北京市残疾人体育代表团赴陕西省参加全国第十一届残疾人运动会暨第八届特殊奥林匹克运动会主赛期比赛，北京市共派出339名残疾人运动员参加了包括冬季、夏季残奥听奥22个项目，残疾人群众9个项目和特奥7个项目在内的38大项比赛，冬季、夏季残奥听奥项目共取得了89.5枚金牌、65.5枚银牌、46枚铜牌，共计201枚奖牌，1人1次超世界纪录，5人6次破全国纪录，位列直辖市金牌、奖牌榜双第一，全国金牌、奖牌榜双第六，总体实现了预期目标，展现了首善之区风采和“双奥”之城魅力，展现了首都残疾人自强不息、超越自我的精气神，实现了参赛成绩与精神文明双丰收。</w:t>
      </w:r>
    </w:p>
    <w:p>
      <w:pPr>
        <w:pStyle w:val="2"/>
        <w:spacing w:line="580" w:lineRule="exact"/>
        <w:ind w:firstLine="560"/>
        <w:rPr>
          <w:rFonts w:hint="eastAsia"/>
        </w:rPr>
      </w:pPr>
      <w:r>
        <w:rPr>
          <w:rFonts w:hint="eastAsia" w:ascii="仿宋_GB2312" w:hAnsi="仿宋_GB2312" w:eastAsia="仿宋_GB2312" w:cs="仿宋_GB2312"/>
          <w:color w:val="000000"/>
          <w:kern w:val="0"/>
          <w:sz w:val="28"/>
          <w:szCs w:val="28"/>
        </w:rPr>
        <w:t>④残疾人保障水平得到提升。一是组织元旦春节期间走访慰问困难残疾人家庭工作。坚持以人民为中心，用心用情关爱困难残疾人，北京市残联在两节期间慰问133户特殊困难残疾人家庭，把党和政府的节日问候送到困难残疾人身边。二是开展喘息式寄宿托养照护服务。通过政府购买服务的方式，在严格落实封闭式管理和做好个人安全防护的前提下，采取灵活入住、流量管理的服务模式，累计为137名特殊困难家庭肢体、智力重度残疾人提供短期照护服务，有效解决了残疾人家庭照料困难。大部分服务对象通过喘息托养改善了身体机能，服务对象家属也获得了一定时间的休养。三是完善残疾人参加城乡居民基本养老保险缴费补贴政策，为推进实现法定残疾人员基本养老保险全覆盖夯牢制度基础。</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（3）环境效益</w:t>
      </w:r>
    </w:p>
    <w:p>
      <w:pPr>
        <w:pStyle w:val="2"/>
        <w:spacing w:line="580" w:lineRule="exact"/>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2021年度无可量化考核的环境效益。</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（4）可持续性影响</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①持续开展残疾人教育和心理咨询。积极持续开展残疾人教育和心理咨询服务，使残疾人在受教育和心理健康上向“平等、自由、和谐”靠近，一是为全市268名家庭经济困难学前残疾儿童提供学前教育资助。二是贯彻落实国家手语和盲文规范化行动计划，积极推进国家通用盲文、手语推广，举办“北京市通用盲文读写竞赛”和“国家通用手语推广提升班”，对部分特教教师、残疾人工作者和视障、听障残疾人开展比赛和培训活动，提升国家通用手语、通用盲文在教育领域及相关公共服务中应用水平。三是落实特殊教育提升计划，创新开展“促进融合发展，科普进校园”系列活动，朝阳实验小学新源里分校等5所院校共同参与，帮助残健学生们学习到科普知识，增强了残疾学生与健全学生间的互动与了解，促进了教育的融合。四是配合开展社会心理服务，组织心理健康培训，继续做好心理健康热线，为残疾人及亲属提供专业心理支持。全市义务教育阶段残疾儿童少年入学率99.9%，融合教育比例近70%，残疾学生高考录取率80.5%。</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②积极促进残疾人就业。一是多渠道多层次促进残疾人就业，建立残疾人就业状况监测制度，党政机关常态化定向招录10名残疾人公务员，为9800余家单位落实招用残疾人岗位补贴和社会保险补贴，协调推动“环球影城”等有影响力企业招录残疾人，432个职业康复劳动项目就近就便吸纳8600余名智力、稳定期精神和重度肢体残疾人参加劳动、融入社会，残疾人职业技能提升行动菜单式免费培训8768人次；二是将农村残疾人帮扶纳入乡村振兴大局，24家助残增收基地为462名农村残疾人提供一年期过渡帮扶，884名纳入低收入标准线边缘户和返低风险户监测帮扶的残疾人全部消除返低风险；三是基层服务能力保持稳定，指导东城、西城残联及5921个社区（村）残协顺利换届，残疾评定服务更多满足个性化需求，温馨家园累计服务303万人次；四是巩固拓展东西部协作地区脱贫攻坚成果，安排残疾人帮扶项目44个，4359名残疾人受益。</w:t>
      </w:r>
    </w:p>
    <w:p>
      <w:pPr>
        <w:spacing w:line="580" w:lineRule="exact"/>
        <w:ind w:firstLine="560" w:firstLineChars="200"/>
        <w:rPr>
          <w:rFonts w:hint="eastAsia"/>
        </w:rPr>
      </w:pPr>
      <w:r>
        <w:rPr>
          <w:rFonts w:hint="eastAsia" w:ascii="仿宋_GB2312" w:hAnsi="仿宋_GB2312" w:eastAsia="仿宋_GB2312" w:cs="仿宋_GB2312"/>
          <w:color w:val="000000"/>
          <w:kern w:val="0"/>
          <w:sz w:val="28"/>
          <w:szCs w:val="28"/>
        </w:rPr>
        <w:t>③加大残疾人事业人才队伍建设。对北京市残疾人事业系统从业人员开展业务培训，使其了解残疾人康复重点工作；对相关助残机构适时开展培训，助其掌握、理解国家政策，更好地为残疾人提供服务。</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（5）服务对象满意度</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①残疾人运动员、京籍残疾人、在京助残服务机构满意度。北京市残联2021年对北京市残疾人运动员、京籍残疾人、在京助残服务机构分别开展了满意度调查，各类人群/机构的满意度均为85%以上，超过预期。</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②上级满意度。北京市残联在2021年度北京市市级机关绩效考核中获得“良好”。</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（四）预算管理情况分析</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1.财务管理</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（1）财务管理制度健全性</w:t>
      </w:r>
    </w:p>
    <w:p>
      <w:pPr>
        <w:spacing w:line="580" w:lineRule="exact"/>
        <w:ind w:firstLine="560" w:firstLineChars="200"/>
        <w:rPr>
          <w:rFonts w:hint="eastAsia"/>
        </w:rPr>
      </w:pPr>
      <w:r>
        <w:rPr>
          <w:rFonts w:hint="eastAsia" w:ascii="仿宋_GB2312" w:hAnsi="仿宋_GB2312" w:eastAsia="仿宋_GB2312" w:cs="仿宋_GB2312"/>
          <w:color w:val="000000"/>
          <w:kern w:val="0"/>
          <w:sz w:val="28"/>
          <w:szCs w:val="28"/>
        </w:rPr>
        <w:t>为加强北京市残联财务管理工作，规范财务收支行为，充分发挥资金使用效益，降低行政运行成本，加强廉政风险防控机制建设，提高内部财务管理水平，根据《中华人民共和国预算法》《中华人民共和国会计法》《中华人民共和国现金管理暂行条例》财政部《行政单位财务规则》《事业单位财务规则》《行政事业单位内部控制规范（试行）》等相关法律、规定和北京市财政局相关政策制度，结合自身实际，2021年度北京市残联加强制度建设，一是修订《北京市残疾人联合会政府采购管理办法》《北京市残疾人联合会财务管理办法》；二是强化资金绩效管理，采取单位自评和部门评价相结合方式对各项目支出实施绩效评价；三是加强财务政策、业务指导和日常报销审核监督，防范财务风险，确保残联系统财务工作安全、规范、高效。财务管理制度健全，执行有效。</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（2）资金使用合规性和安全性</w:t>
      </w:r>
    </w:p>
    <w:p>
      <w:pPr>
        <w:spacing w:line="580" w:lineRule="exact"/>
        <w:ind w:firstLine="560" w:firstLineChars="200"/>
        <w:rPr>
          <w:rFonts w:hint="eastAsia"/>
        </w:rPr>
      </w:pPr>
      <w:r>
        <w:rPr>
          <w:rFonts w:hint="eastAsia" w:ascii="仿宋_GB2312" w:hAnsi="仿宋_GB2312" w:eastAsia="仿宋_GB2312" w:cs="仿宋_GB2312"/>
          <w:color w:val="000000"/>
          <w:kern w:val="0"/>
          <w:sz w:val="28"/>
          <w:szCs w:val="28"/>
        </w:rPr>
        <w:t>工作组抽取了重点项目的支出凭证和相关会计账目，对北京市残联资金使用情况进行核实，发现北京市残联资金拨付审批程序和手续完整，项目重大开支事前评估论证、事中过程监管和事后评价流程完整，资金使用符合部门预算批复的用途，符合国家财经法规和财务管理制度规定以及有关专项资金管理办法的规定，符合公务卡结算相关制度和规定，未发现截留、挤占、挪用情况，资金使用合规性和安全性较高。</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（3）会计基础信息完善性</w:t>
      </w:r>
    </w:p>
    <w:p>
      <w:pPr>
        <w:spacing w:line="580" w:lineRule="exact"/>
        <w:ind w:left="105" w:leftChars="50" w:firstLine="420" w:firstLineChars="150"/>
        <w:rPr>
          <w:rFonts w:hint="eastAsia"/>
        </w:rPr>
      </w:pPr>
      <w:r>
        <w:rPr>
          <w:rFonts w:hint="eastAsia" w:ascii="仿宋_GB2312" w:hAnsi="仿宋_GB2312" w:eastAsia="仿宋_GB2312" w:cs="仿宋_GB2312"/>
          <w:color w:val="000000"/>
          <w:kern w:val="0"/>
          <w:sz w:val="28"/>
          <w:szCs w:val="28"/>
        </w:rPr>
        <w:t>工作组通过核实，发现北京市残联2021年基础数据信息和会计信息资料真实、完整、准确。</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2.资产管理</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北京市残联2021年末货币资金余额1829.52万元，财政应返还额度4784.96万元，房屋资产171816.43万元，车辆资产640.65万元，在建工程31881.93万元，无借款，应缴财政款4.90万元，应付职工薪酬84.37万元。</w:t>
      </w:r>
    </w:p>
    <w:p>
      <w:pPr>
        <w:spacing w:line="580" w:lineRule="exact"/>
        <w:ind w:firstLine="560" w:firstLineChars="200"/>
        <w:rPr>
          <w:rFonts w:hint="eastAsia"/>
        </w:rPr>
      </w:pPr>
      <w:r>
        <w:rPr>
          <w:rFonts w:hint="eastAsia" w:ascii="仿宋_GB2312" w:hAnsi="仿宋_GB2312" w:eastAsia="仿宋_GB2312" w:cs="仿宋_GB2312"/>
          <w:color w:val="000000"/>
          <w:kern w:val="0"/>
          <w:sz w:val="28"/>
          <w:szCs w:val="28"/>
        </w:rPr>
        <w:t>北京市残联于2016年发布《北京市残疾人联合会固定资产管理办法》，明确各项主体责任和固定资产管理细则，工作组查阅部门2021年资产入账清单及其他固定资产购置、管理材料，未发现有因管理不当发生严重资产损失和丢失情况；不存在超标准配置资产情况；资产使用比较规范，不存在未经批准擅自出租、出借资产行为；资产处置比较规范，不存在不按要求进行报批或资产不公开处置行为；资产管理制度办法执行情况较好。</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3.绩效管理</w:t>
      </w:r>
    </w:p>
    <w:p>
      <w:pPr>
        <w:spacing w:line="580" w:lineRule="exact"/>
        <w:ind w:firstLine="560" w:firstLineChars="200"/>
        <w:rPr>
          <w:rFonts w:hint="eastAsia"/>
        </w:rPr>
      </w:pPr>
      <w:r>
        <w:rPr>
          <w:rFonts w:hint="eastAsia" w:ascii="仿宋_GB2312" w:hAnsi="仿宋_GB2312" w:eastAsia="仿宋_GB2312" w:cs="仿宋_GB2312"/>
          <w:color w:val="000000"/>
          <w:kern w:val="0"/>
          <w:sz w:val="28"/>
          <w:szCs w:val="28"/>
        </w:rPr>
        <w:t>部门于2021年中对部分项目预算进行了调整；在机关本级和所属单位内开展了全项目绩效运行监控，有效识别并监管了各项目的实施情况和实施效果，为保障各项目在年底前圆满完成加固了防线。</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4.结转结余率</w:t>
      </w:r>
    </w:p>
    <w:p>
      <w:pPr>
        <w:spacing w:line="580" w:lineRule="exact"/>
        <w:ind w:firstLine="560" w:firstLineChars="200"/>
        <w:rPr>
          <w:rFonts w:hint="eastAsia"/>
        </w:rPr>
      </w:pPr>
      <w:r>
        <w:rPr>
          <w:rFonts w:hint="eastAsia" w:ascii="仿宋_GB2312" w:hAnsi="仿宋_GB2312" w:eastAsia="仿宋_GB2312" w:cs="仿宋_GB2312"/>
          <w:color w:val="000000"/>
          <w:kern w:val="0"/>
          <w:sz w:val="28"/>
          <w:szCs w:val="28"/>
        </w:rPr>
        <w:t>2021年北京市残联年末结转结余资金总额为5073.02万元，全年调整预算数为49568.26万元，结转结余率为10.23%；2020年年末结转结余资金总额为6069.72万元，全年调整预算数为46098.50万元，结转结余率为13.17%。2021年度部门结转结余率较上一年度下降了2.94%。</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5.部门预决算差异率</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2021年度北京市残联年初预算数为30,906.20万元，部门年度支出决算数为49,568.30万元，部门预决算差异率为60.38%；北京市残联2020年年初预算数33,397.75万元，部门年度支出决算数为46,098.5</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万元，部门预决算差异率为38.03%。</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（五）总体评价结论</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1.评价得分情况</w:t>
      </w:r>
      <w:bookmarkStart w:id="0" w:name="_GoBack"/>
      <w:bookmarkEnd w:id="0"/>
    </w:p>
    <w:p>
      <w:pPr>
        <w:spacing w:line="600" w:lineRule="exact"/>
        <w:ind w:firstLine="560" w:firstLineChars="200"/>
        <w:rPr>
          <w:rFonts w:eastAsia="仿宋"/>
          <w:color w:val="000000"/>
          <w:kern w:val="0"/>
          <w:sz w:val="32"/>
          <w:szCs w:val="32"/>
        </w:rPr>
      </w:pPr>
      <w:r>
        <w:rPr>
          <w:rFonts w:hint="eastAsia" w:ascii="仿宋_GB2312" w:hAnsi="仿宋_GB2312" w:eastAsia="仿宋_GB2312" w:cs="仿宋_GB2312"/>
          <w:sz w:val="28"/>
          <w:szCs w:val="28"/>
        </w:rPr>
        <w:t>2021年度北京市残联部门整体绩效评价得分为91.89分，综合评价等级为“优”，各一级指标得分情况如下表所示：</w:t>
      </w:r>
    </w:p>
    <w:p>
      <w:pPr>
        <w:spacing w:line="600" w:lineRule="exact"/>
        <w:ind w:left="105" w:leftChars="50" w:firstLine="330" w:firstLineChars="150"/>
        <w:jc w:val="center"/>
        <w:rPr>
          <w:rFonts w:ascii="黑体" w:hAnsi="黑体" w:eastAsia="黑体" w:cs="黑体"/>
          <w:color w:val="000000"/>
          <w:kern w:val="0"/>
          <w:sz w:val="22"/>
          <w:szCs w:val="22"/>
        </w:rPr>
      </w:pPr>
      <w:r>
        <w:rPr>
          <w:rFonts w:hint="eastAsia" w:ascii="黑体" w:hAnsi="黑体" w:eastAsia="黑体" w:cs="黑体"/>
          <w:color w:val="000000"/>
          <w:kern w:val="0"/>
          <w:sz w:val="22"/>
          <w:szCs w:val="22"/>
        </w:rPr>
        <w:t xml:space="preserve"> 2021年度北京市残联部门整体绩效得分情况表</w:t>
      </w:r>
    </w:p>
    <w:tbl>
      <w:tblPr>
        <w:tblStyle w:val="5"/>
        <w:tblW w:w="7615" w:type="dxa"/>
        <w:jc w:val="center"/>
        <w:tblLayout w:type="autofit"/>
        <w:tblCellMar>
          <w:top w:w="0" w:type="dxa"/>
          <w:left w:w="108" w:type="dxa"/>
          <w:bottom w:w="0" w:type="dxa"/>
          <w:right w:w="108" w:type="dxa"/>
        </w:tblCellMar>
      </w:tblPr>
      <w:tblGrid>
        <w:gridCol w:w="2734"/>
        <w:gridCol w:w="1933"/>
        <w:gridCol w:w="1640"/>
        <w:gridCol w:w="1308"/>
      </w:tblGrid>
      <w:tr>
        <w:tblPrEx>
          <w:tblCellMar>
            <w:top w:w="0" w:type="dxa"/>
            <w:left w:w="108" w:type="dxa"/>
            <w:bottom w:w="0" w:type="dxa"/>
            <w:right w:w="108" w:type="dxa"/>
          </w:tblCellMar>
        </w:tblPrEx>
        <w:trPr>
          <w:trHeight w:val="520" w:hRule="atLeast"/>
          <w:jc w:val="center"/>
        </w:trPr>
        <w:tc>
          <w:tcPr>
            <w:tcW w:w="2734"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一级指标</w:t>
            </w:r>
          </w:p>
        </w:tc>
        <w:tc>
          <w:tcPr>
            <w:tcW w:w="1933"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分值</w:t>
            </w:r>
          </w:p>
        </w:tc>
        <w:tc>
          <w:tcPr>
            <w:tcW w:w="1640"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得分</w:t>
            </w:r>
          </w:p>
        </w:tc>
        <w:tc>
          <w:tcPr>
            <w:tcW w:w="1308" w:type="dxa"/>
            <w:tcBorders>
              <w:top w:val="single" w:color="000000" w:sz="4" w:space="0"/>
              <w:left w:val="single" w:color="000000" w:sz="4" w:space="0"/>
              <w:bottom w:val="single" w:color="000000" w:sz="4" w:space="0"/>
              <w:right w:val="single" w:color="000000" w:sz="4" w:space="0"/>
            </w:tcBorders>
            <w:shd w:val="clear" w:color="auto" w:fill="BEBEBE"/>
            <w:noWrap w:val="0"/>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得分率</w:t>
            </w:r>
          </w:p>
        </w:tc>
      </w:tr>
      <w:tr>
        <w:tblPrEx>
          <w:tblCellMar>
            <w:top w:w="0" w:type="dxa"/>
            <w:left w:w="108" w:type="dxa"/>
            <w:bottom w:w="0" w:type="dxa"/>
            <w:right w:w="108" w:type="dxa"/>
          </w:tblCellMar>
        </w:tblPrEx>
        <w:trPr>
          <w:trHeight w:val="520" w:hRule="atLeast"/>
          <w:jc w:val="center"/>
        </w:trPr>
        <w:tc>
          <w:tcPr>
            <w:tcW w:w="2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当年预算执行情况</w:t>
            </w:r>
          </w:p>
        </w:tc>
        <w:tc>
          <w:tcPr>
            <w:tcW w:w="19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20</w:t>
            </w:r>
          </w:p>
        </w:tc>
        <w:tc>
          <w:tcPr>
            <w:tcW w:w="16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17.95</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89.75%</w:t>
            </w:r>
          </w:p>
        </w:tc>
      </w:tr>
      <w:tr>
        <w:tblPrEx>
          <w:tblCellMar>
            <w:top w:w="0" w:type="dxa"/>
            <w:left w:w="108" w:type="dxa"/>
            <w:bottom w:w="0" w:type="dxa"/>
            <w:right w:w="108" w:type="dxa"/>
          </w:tblCellMar>
        </w:tblPrEx>
        <w:trPr>
          <w:trHeight w:val="520" w:hRule="atLeast"/>
          <w:jc w:val="center"/>
        </w:trPr>
        <w:tc>
          <w:tcPr>
            <w:tcW w:w="2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整体绩效目标实现情况</w:t>
            </w:r>
          </w:p>
        </w:tc>
        <w:tc>
          <w:tcPr>
            <w:tcW w:w="19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60</w:t>
            </w:r>
          </w:p>
        </w:tc>
        <w:tc>
          <w:tcPr>
            <w:tcW w:w="16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55</w:t>
            </w:r>
            <w:r>
              <w:rPr>
                <w:rFonts w:ascii="宋体" w:hAnsi="宋体" w:cs="宋体"/>
                <w:color w:val="000000"/>
                <w:kern w:val="0"/>
                <w:sz w:val="22"/>
                <w:szCs w:val="22"/>
              </w:rPr>
              <w:t>.</w:t>
            </w:r>
            <w:r>
              <w:rPr>
                <w:rFonts w:hint="eastAsia" w:ascii="宋体" w:hAnsi="宋体" w:cs="宋体"/>
                <w:color w:val="000000"/>
                <w:kern w:val="0"/>
                <w:sz w:val="22"/>
                <w:szCs w:val="22"/>
              </w:rPr>
              <w:t>94</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93.23%</w:t>
            </w:r>
          </w:p>
        </w:tc>
      </w:tr>
      <w:tr>
        <w:tblPrEx>
          <w:tblCellMar>
            <w:top w:w="0" w:type="dxa"/>
            <w:left w:w="108" w:type="dxa"/>
            <w:bottom w:w="0" w:type="dxa"/>
            <w:right w:w="108" w:type="dxa"/>
          </w:tblCellMar>
        </w:tblPrEx>
        <w:trPr>
          <w:trHeight w:val="520" w:hRule="atLeast"/>
          <w:jc w:val="center"/>
        </w:trPr>
        <w:tc>
          <w:tcPr>
            <w:tcW w:w="2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预算管理情况</w:t>
            </w:r>
          </w:p>
        </w:tc>
        <w:tc>
          <w:tcPr>
            <w:tcW w:w="19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20</w:t>
            </w:r>
          </w:p>
        </w:tc>
        <w:tc>
          <w:tcPr>
            <w:tcW w:w="16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18</w:t>
            </w:r>
            <w:r>
              <w:rPr>
                <w:rFonts w:ascii="宋体" w:hAnsi="宋体" w:cs="宋体"/>
                <w:color w:val="000000"/>
                <w:kern w:val="0"/>
                <w:sz w:val="22"/>
                <w:szCs w:val="22"/>
              </w:rPr>
              <w:t>.</w:t>
            </w:r>
            <w:r>
              <w:rPr>
                <w:rFonts w:hint="eastAsia" w:ascii="宋体" w:hAnsi="宋体" w:cs="宋体"/>
                <w:color w:val="000000"/>
                <w:kern w:val="0"/>
                <w:sz w:val="22"/>
                <w:szCs w:val="22"/>
              </w:rPr>
              <w:t>0</w:t>
            </w:r>
            <w:r>
              <w:rPr>
                <w:rFonts w:ascii="宋体" w:hAnsi="宋体" w:cs="宋体"/>
                <w:color w:val="000000"/>
                <w:kern w:val="0"/>
                <w:sz w:val="22"/>
                <w:szCs w:val="22"/>
              </w:rPr>
              <w:t>0</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90.00%</w:t>
            </w:r>
          </w:p>
        </w:tc>
      </w:tr>
      <w:tr>
        <w:tblPrEx>
          <w:tblCellMar>
            <w:top w:w="0" w:type="dxa"/>
            <w:left w:w="108" w:type="dxa"/>
            <w:bottom w:w="0" w:type="dxa"/>
            <w:right w:w="108" w:type="dxa"/>
          </w:tblCellMar>
        </w:tblPrEx>
        <w:trPr>
          <w:trHeight w:val="520" w:hRule="atLeast"/>
          <w:jc w:val="center"/>
        </w:trPr>
        <w:tc>
          <w:tcPr>
            <w:tcW w:w="2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合计</w:t>
            </w:r>
          </w:p>
        </w:tc>
        <w:tc>
          <w:tcPr>
            <w:tcW w:w="19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100</w:t>
            </w:r>
          </w:p>
        </w:tc>
        <w:tc>
          <w:tcPr>
            <w:tcW w:w="16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91.89</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91.89%</w:t>
            </w:r>
          </w:p>
        </w:tc>
      </w:tr>
    </w:tbl>
    <w:p>
      <w:pPr>
        <w:pStyle w:val="2"/>
        <w:ind w:firstLine="420"/>
        <w:rPr>
          <w:rFonts w:hint="eastAsia"/>
        </w:rPr>
      </w:pP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2.存在的问题及原因分析</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缺乏部门整体预算绩效管理工作经验，部门整体绩效指标设置合理性存在提升空间，部门履职效果反映不明显。2021年，北京市残联首次开展部门整体绩效指标体系构建工作，缺乏部门整体预算绩效管理工作的相关经验，部门整体绩效指标设置合理性有待提升。一是指标涵盖面不足，部分项目资金的使用绩效、目标管理未在部门整体年度职责目标中得到体现，部门履职效果、资金使用效益得不到充分、明显的反映。二是部门年度核心工作目标提炼不到位，绩效不够聚焦，绩效导向作用发挥不明显。三是指标值设置量化、细化不足，考核性不强。</w:t>
      </w:r>
    </w:p>
    <w:p>
      <w:pPr>
        <w:spacing w:line="580" w:lineRule="exact"/>
        <w:ind w:firstLine="560" w:firstLineChars="200"/>
        <w:rPr>
          <w:rFonts w:hint="eastAsia"/>
        </w:rPr>
      </w:pPr>
      <w:r>
        <w:rPr>
          <w:rFonts w:hint="eastAsia" w:ascii="仿宋_GB2312" w:hAnsi="仿宋_GB2312" w:eastAsia="仿宋_GB2312" w:cs="仿宋_GB2312"/>
          <w:sz w:val="28"/>
          <w:szCs w:val="28"/>
        </w:rPr>
        <w:t>（2）残疾人事业人才队伍建设发展动能不足。通过对部门2021年度重点工作、具体任务和各支出项目进行梳理和统计，工作组发现部门在北京市市级、区级、街道、社区（村）残联系统人才队伍建设，以及对首都残疾人服务机构从业者的业务培训、能力素养提升、高级人才梯队培育等方面存在薄弱环节，残疾人事业人才队伍建设发展动能不足。</w:t>
      </w:r>
    </w:p>
    <w:p>
      <w:pPr>
        <w:pStyle w:val="2"/>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（六）措施建议</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1.加强部门整体预算绩效管理意识，深度挖掘部门职能特点，规范部门整体绩效目标</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加强部门整体预算绩效管理培训，提高部门整体预算绩效管理意识，通过实践进一步提升部门整体预算绩效管理能力。一是深度挖掘部门职能、发展规划目标、年度核心任务的关联性，参照国际或国内其他省份同类型发展经验，全面梳理总结本市残疾人事业的核心发展目标和公共服务功能定位，明确部门3-5年内发展战略目标和年度整体目标。二是充分考虑部门现有优势和不足，制定较为科学合理、具有前瞻性和挑战性的指标值，敦促各业务单位履职尽责，调动积极主动性，比学赶超、争当典型。三是深入学习北京市委市政府印发《关于全面实施预算绩效管理的实施意见》，了解部门整体预算绩效管理运行机制和操作规范，准确编制填报部门整体绩效目标。</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2.加强残疾人事业人才队伍建设，为残疾人事业高质量发展储备强劲动能</w:t>
      </w:r>
    </w:p>
    <w:p>
      <w:pPr>
        <w:spacing w:line="580" w:lineRule="exact"/>
        <w:ind w:firstLine="560" w:firstLineChars="200"/>
        <w:rPr>
          <w:rFonts w:hint="eastAsia"/>
        </w:rPr>
      </w:pPr>
      <w:r>
        <w:rPr>
          <w:rFonts w:hint="eastAsia" w:ascii="仿宋_GB2312" w:hAnsi="仿宋_GB2312" w:eastAsia="仿宋_GB2312" w:cs="仿宋_GB2312"/>
          <w:sz w:val="28"/>
          <w:szCs w:val="28"/>
        </w:rPr>
        <w:t>人才是事业发展的核心和强劲后备力量，加强残疾人事业人才队伍建设，为残疾人事业高质量发展储备强劲动能，一是加强对体制内从业者的政策和业务培训，使其成为国家、北京市残疾人事业发展政策的宣贯者和践行者；二是加强对残疾人服务供应商的联系和培训，积极引导和发挥商家的从业积极性和从业影响，净化市场生态；三是实施高端人才储备计划，残疾人事业的高质量发展和现代化治理需要高端人才的不断加入和持续储备，才能迸发源源不断的活力和生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altName w:val="方正仿宋_GBK"/>
    <w:panose1 w:val="02010609030101010101"/>
    <w:charset w:val="00"/>
    <w:family w:val="modern"/>
    <w:pitch w:val="default"/>
    <w:sig w:usb0="00000000" w:usb1="00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FB472"/>
    <w:multiLevelType w:val="singleLevel"/>
    <w:tmpl w:val="D7FFB47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F9277"/>
    <w:rsid w:val="1DDF388F"/>
    <w:rsid w:val="7D7F9A28"/>
    <w:rsid w:val="7FDF9277"/>
    <w:rsid w:val="BE7CCAB2"/>
    <w:rsid w:val="DFBF8DA6"/>
    <w:rsid w:val="FF582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ody Text Indent 2"/>
    <w:basedOn w:val="1"/>
    <w:qFormat/>
    <w:uiPriority w:val="0"/>
    <w:pPr>
      <w:spacing w:after="120" w:line="480" w:lineRule="auto"/>
      <w:ind w:left="420" w:leftChars="200"/>
    </w:pPr>
  </w:style>
  <w:style w:type="paragraph" w:styleId="4">
    <w:name w:val="footer"/>
    <w:basedOn w:val="1"/>
    <w:qFormat/>
    <w:uiPriority w:val="99"/>
    <w:pPr>
      <w:tabs>
        <w:tab w:val="center" w:pos="4153"/>
        <w:tab w:val="right" w:pos="8306"/>
      </w:tabs>
      <w:snapToGrid w:val="0"/>
      <w:jc w:val="left"/>
    </w:pPr>
    <w:rPr>
      <w:sz w:val="18"/>
    </w:rPr>
  </w:style>
  <w:style w:type="character" w:customStyle="1" w:styleId="7">
    <w:name w:val="font11"/>
    <w:qFormat/>
    <w:uiPriority w:val="0"/>
    <w:rPr>
      <w:rFonts w:hint="eastAsia" w:ascii="宋体" w:hAnsi="宋体" w:eastAsia="宋体" w:cs="宋体"/>
      <w:color w:val="000000"/>
      <w:sz w:val="20"/>
      <w:szCs w:val="20"/>
      <w:u w:val="none"/>
    </w:rPr>
  </w:style>
  <w:style w:type="character" w:customStyle="1" w:styleId="8">
    <w:name w:val="font2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2022-08-23T11:11:00Z</dcterms:created>
  <dc:creator>uos</dc:creator>
  <cp:lastModifiedBy>uos</cp:lastModifiedBy>
  <dcterms:modified xsi:type="dcterms:W3CDTF">2022-08-23T11:17:15Z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